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topLinePunct w:val="0"/>
        <w:autoSpaceDE/>
        <w:autoSpaceDN/>
        <w:bidi w:val="0"/>
        <w:spacing w:before="0" w:beforeAutospacing="0" w:after="0" w:afterAutospacing="0" w:line="600" w:lineRule="exact"/>
        <w:ind w:right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93939"/>
          <w:spacing w:val="0"/>
          <w:sz w:val="44"/>
          <w:szCs w:val="44"/>
          <w:shd w:val="clear" w:fill="FFFFFF"/>
          <w:lang w:eastAsia="zh-CN"/>
        </w:rPr>
      </w:pPr>
      <w:r>
        <w:rPr>
          <w:rFonts w:hint="default" w:ascii="宋体" w:hAnsi="宋体" w:eastAsia="宋体" w:cs="宋体"/>
          <w:b/>
          <w:bCs/>
          <w:i w:val="0"/>
          <w:iCs w:val="0"/>
          <w:caps w:val="0"/>
          <w:color w:val="393939"/>
          <w:spacing w:val="0"/>
          <w:sz w:val="44"/>
          <w:szCs w:val="44"/>
          <w:shd w:val="clear" w:fill="FFFFFF"/>
          <w:lang w:eastAsia="zh-CN"/>
        </w:rPr>
        <w:t>兽药经营许可证核发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93939"/>
          <w:spacing w:val="0"/>
          <w:sz w:val="44"/>
          <w:szCs w:val="44"/>
          <w:shd w:val="clear" w:fill="FFFFFF"/>
          <w:lang w:eastAsia="zh-CN"/>
        </w:rPr>
        <w:t>告知承诺制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topLinePunct w:val="0"/>
        <w:autoSpaceDE/>
        <w:autoSpaceDN/>
        <w:bidi w:val="0"/>
        <w:spacing w:before="0" w:beforeAutospacing="0" w:after="0" w:afterAutospacing="0" w:line="600" w:lineRule="exact"/>
        <w:ind w:right="0"/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93939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93939"/>
          <w:spacing w:val="0"/>
          <w:sz w:val="44"/>
          <w:szCs w:val="44"/>
          <w:shd w:val="clear" w:fill="FFFFFF"/>
          <w:lang w:eastAsia="zh-CN"/>
        </w:rPr>
        <w:t>办事指南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事项名称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和编码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事项名称：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eastAsia="zh-CN"/>
        </w:rPr>
        <w:t>兽药经营许可证核发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firstLine="640" w:firstLineChars="200"/>
        <w:textAlignment w:val="auto"/>
        <w:rPr>
          <w:rFonts w:hint="eastAsia" w:ascii="仿宋_GB2312" w:hAnsi="仿宋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事项编码：</w:t>
      </w:r>
      <w:r>
        <w:rPr>
          <w:rFonts w:hint="eastAsia" w:ascii="仿宋_GB2312" w:hAnsi="仿宋_GB2312" w:eastAsia="仿宋_GB2312" w:cs="仿宋_GB2312"/>
          <w:sz w:val="32"/>
          <w:szCs w:val="32"/>
        </w:rPr>
        <w:t>000120075000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二、适用范围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" w:eastAsia="仿宋_GB2312" w:cstheme="minorBidi"/>
          <w:sz w:val="32"/>
          <w:szCs w:val="32"/>
        </w:rPr>
        <w:t>本指南适用于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eastAsia="zh-CN"/>
        </w:rPr>
        <w:t>兽药经营许可证核发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的申请和办理。</w:t>
      </w:r>
    </w:p>
    <w:p>
      <w:pPr>
        <w:keepNext w:val="0"/>
        <w:keepLines w:val="0"/>
        <w:pageBreakBefore w:val="0"/>
        <w:widowControl/>
        <w:kinsoku/>
        <w:wordWrap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ascii="仿宋_GB2312" w:hAnsi="仿宋" w:eastAsia="仿宋_GB2312" w:cstheme="minorBidi"/>
          <w:sz w:val="32"/>
          <w:szCs w:val="32"/>
        </w:rPr>
      </w:pPr>
      <w:r>
        <w:rPr>
          <w:rFonts w:hint="eastAsia" w:ascii="仿宋_GB2312" w:hAnsi="仿宋" w:eastAsia="仿宋_GB2312" w:cstheme="minorBidi"/>
          <w:sz w:val="32"/>
          <w:szCs w:val="32"/>
        </w:rPr>
        <w:t>申请人自愿选择采用告知承诺制方式办理。</w:t>
      </w:r>
    </w:p>
    <w:p>
      <w:pPr>
        <w:keepNext w:val="0"/>
        <w:keepLines w:val="0"/>
        <w:pageBreakBefore w:val="0"/>
        <w:widowControl/>
        <w:kinsoku/>
        <w:wordWrap/>
        <w:topLinePunct w:val="0"/>
        <w:bidi w:val="0"/>
        <w:spacing w:line="600" w:lineRule="exact"/>
        <w:ind w:firstLine="640" w:firstLineChars="200"/>
        <w:textAlignment w:val="auto"/>
        <w:rPr>
          <w:rFonts w:ascii="仿宋_GB2312" w:hAnsi="仿宋" w:eastAsia="仿宋_GB2312" w:cstheme="minorBidi"/>
          <w:sz w:val="32"/>
          <w:szCs w:val="32"/>
        </w:rPr>
      </w:pPr>
      <w:r>
        <w:rPr>
          <w:rFonts w:hint="eastAsia" w:ascii="仿宋_GB2312" w:hAnsi="仿宋" w:eastAsia="仿宋_GB2312" w:cstheme="minorBidi"/>
          <w:sz w:val="32"/>
          <w:szCs w:val="32"/>
        </w:rPr>
        <w:t>申请人不愿承诺、无法承诺或者不愿承诺承担不实承诺法律责任的，按照一般程序办理。</w:t>
      </w:r>
    </w:p>
    <w:p>
      <w:pPr>
        <w:keepNext w:val="0"/>
        <w:keepLines w:val="0"/>
        <w:pageBreakBefore w:val="0"/>
        <w:widowControl/>
        <w:kinsoku/>
        <w:wordWrap/>
        <w:topLinePunct w:val="0"/>
        <w:bidi w:val="0"/>
        <w:spacing w:line="600" w:lineRule="exact"/>
        <w:ind w:firstLine="640" w:firstLineChars="200"/>
        <w:textAlignment w:val="auto"/>
        <w:rPr>
          <w:rFonts w:ascii="仿宋_GB2312" w:hAnsi="仿宋" w:eastAsia="仿宋_GB2312" w:cstheme="minorBidi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0"/>
          <w:sz w:val="32"/>
          <w:szCs w:val="32"/>
        </w:rPr>
        <w:t>申请人办理许可证过程中隐瞒有关情况或者提供虚</w:t>
      </w:r>
      <w:bookmarkStart w:id="0" w:name="_GoBack"/>
      <w:bookmarkEnd w:id="0"/>
      <w:r>
        <w:rPr>
          <w:rFonts w:hint="eastAsia" w:ascii="仿宋_GB2312" w:hAnsi="Times New Roman" w:eastAsia="仿宋_GB2312" w:cs="仿宋_GB2312"/>
          <w:kern w:val="0"/>
          <w:sz w:val="32"/>
          <w:szCs w:val="32"/>
        </w:rPr>
        <w:t>假材料申请人在一年内不得再次申请该行政许可；以欺骗、贿赂等不正当手段取得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兽药经营许可证</w:t>
      </w:r>
      <w:r>
        <w:rPr>
          <w:rFonts w:hint="eastAsia" w:ascii="仿宋_GB2312" w:hAnsi="Times New Roman" w:eastAsia="仿宋_GB2312" w:cs="仿宋_GB2312"/>
          <w:kern w:val="0"/>
          <w:sz w:val="32"/>
          <w:szCs w:val="32"/>
        </w:rPr>
        <w:t>的，申请人在三年内不得再次申请该行政许可。失信单位和个人再次申请许可时，不适用告知承诺制。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三、审批依据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topLinePunct w:val="0"/>
        <w:bidi w:val="0"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_GB2312" w:hAnsi="Times New Roman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Times New Roman" w:eastAsia="仿宋_GB2312" w:cs="仿宋_GB2312"/>
          <w:color w:val="auto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Times New Roman" w:eastAsia="仿宋_GB2312" w:cs="仿宋_GB2312"/>
          <w:color w:val="auto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仿宋_GB2312"/>
          <w:color w:val="auto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Times New Roman" w:eastAsia="仿宋_GB2312" w:cs="仿宋_GB2312"/>
          <w:color w:val="auto"/>
          <w:kern w:val="0"/>
          <w:sz w:val="32"/>
          <w:szCs w:val="32"/>
        </w:rPr>
        <w:t>《中华人民共和国兽药管理条例》（2004年4月9日国务院令第404号，2016年2月6日予以修改）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topLinePunct w:val="0"/>
        <w:bidi w:val="0"/>
        <w:spacing w:before="0" w:beforeAutospacing="0" w:after="0" w:afterAutospacing="0" w:line="600" w:lineRule="exact"/>
        <w:ind w:left="0" w:right="0" w:firstLine="0"/>
        <w:jc w:val="left"/>
        <w:textAlignment w:val="auto"/>
        <w:rPr>
          <w:rFonts w:hint="default" w:ascii="仿宋_GB2312" w:hAnsi="Times New Roman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color w:val="auto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Times New Roman" w:eastAsia="仿宋_GB2312" w:cs="仿宋_GB2312"/>
          <w:color w:val="auto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Times New Roman" w:eastAsia="仿宋_GB2312" w:cs="仿宋_GB2312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仿宋_GB2312"/>
          <w:color w:val="auto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Times New Roman" w:eastAsia="仿宋_GB2312" w:cs="仿宋_GB2312"/>
          <w:color w:val="auto"/>
          <w:kern w:val="0"/>
          <w:sz w:val="32"/>
          <w:szCs w:val="32"/>
        </w:rPr>
        <w:t>《</w:t>
      </w:r>
      <w:r>
        <w:rPr>
          <w:rFonts w:hint="eastAsia" w:ascii="仿宋_GB2312" w:hAnsi="Times New Roman" w:eastAsia="仿宋_GB2312" w:cs="仿宋_GB2312"/>
          <w:color w:val="auto"/>
          <w:kern w:val="0"/>
          <w:sz w:val="32"/>
          <w:szCs w:val="32"/>
        </w:rPr>
        <w:fldChar w:fldCharType="begin"/>
      </w:r>
      <w:r>
        <w:rPr>
          <w:rFonts w:hint="eastAsia" w:ascii="仿宋_GB2312" w:hAnsi="Times New Roman" w:eastAsia="仿宋_GB2312" w:cs="仿宋_GB2312"/>
          <w:color w:val="auto"/>
          <w:kern w:val="0"/>
          <w:sz w:val="32"/>
          <w:szCs w:val="32"/>
        </w:rPr>
        <w:instrText xml:space="preserve"> HYPERLINK "https://www.waizi.org.cn/doc/35709.html" \o "《兽药经营质量管理规范》农业部令2010年第3号（全文）" \t "https://www.waizi.org.cn/doc/_blank" </w:instrText>
      </w:r>
      <w:r>
        <w:rPr>
          <w:rFonts w:hint="eastAsia" w:ascii="仿宋_GB2312" w:hAnsi="Times New Roman" w:eastAsia="仿宋_GB2312" w:cs="仿宋_GB2312"/>
          <w:color w:val="auto"/>
          <w:kern w:val="0"/>
          <w:sz w:val="32"/>
          <w:szCs w:val="32"/>
        </w:rPr>
        <w:fldChar w:fldCharType="separate"/>
      </w:r>
      <w:r>
        <w:rPr>
          <w:rFonts w:hint="eastAsia" w:ascii="仿宋_GB2312" w:hAnsi="Times New Roman" w:eastAsia="仿宋_GB2312" w:cs="仿宋_GB2312"/>
          <w:color w:val="auto"/>
          <w:kern w:val="0"/>
          <w:sz w:val="32"/>
          <w:szCs w:val="32"/>
        </w:rPr>
        <w:fldChar w:fldCharType="end"/>
      </w:r>
      <w:r>
        <w:rPr>
          <w:rFonts w:hint="eastAsia" w:ascii="仿宋_GB2312" w:hAnsi="Times New Roman" w:eastAsia="仿宋_GB2312" w:cs="仿宋_GB2312"/>
          <w:color w:val="auto"/>
          <w:kern w:val="0"/>
          <w:sz w:val="32"/>
          <w:szCs w:val="32"/>
        </w:rPr>
        <w:fldChar w:fldCharType="begin"/>
      </w:r>
      <w:r>
        <w:rPr>
          <w:rFonts w:hint="eastAsia" w:ascii="仿宋_GB2312" w:hAnsi="Times New Roman" w:eastAsia="仿宋_GB2312" w:cs="仿宋_GB2312"/>
          <w:color w:val="auto"/>
          <w:kern w:val="0"/>
          <w:sz w:val="32"/>
          <w:szCs w:val="32"/>
        </w:rPr>
        <w:instrText xml:space="preserve"> HYPERLINK "https://www.waizi.org.cn/doc/35709.html" \o "《兽药经营质量管理规范》农业部令2010年第3号（全文）" \t "https://www.waizi.org.cn/doc/_blank" </w:instrText>
      </w:r>
      <w:r>
        <w:rPr>
          <w:rFonts w:hint="eastAsia" w:ascii="仿宋_GB2312" w:hAnsi="Times New Roman" w:eastAsia="仿宋_GB2312" w:cs="仿宋_GB2312"/>
          <w:color w:val="auto"/>
          <w:kern w:val="0"/>
          <w:sz w:val="32"/>
          <w:szCs w:val="32"/>
        </w:rPr>
        <w:fldChar w:fldCharType="separate"/>
      </w:r>
      <w:r>
        <w:rPr>
          <w:rFonts w:hint="eastAsia" w:ascii="仿宋_GB2312" w:hAnsi="Times New Roman" w:eastAsia="仿宋_GB2312" w:cs="仿宋_GB2312"/>
          <w:color w:val="auto"/>
          <w:kern w:val="0"/>
          <w:sz w:val="32"/>
          <w:szCs w:val="32"/>
        </w:rPr>
        <w:t>兽药经营质量管理规范</w:t>
      </w:r>
      <w:r>
        <w:rPr>
          <w:rFonts w:hint="eastAsia" w:ascii="仿宋_GB2312" w:hAnsi="Times New Roman" w:eastAsia="仿宋_GB2312" w:cs="仿宋_GB2312"/>
          <w:color w:val="auto"/>
          <w:kern w:val="0"/>
          <w:sz w:val="32"/>
          <w:szCs w:val="32"/>
        </w:rPr>
        <w:fldChar w:fldCharType="end"/>
      </w:r>
      <w:r>
        <w:rPr>
          <w:rFonts w:hint="eastAsia" w:ascii="仿宋_GB2312" w:hAnsi="Times New Roman" w:eastAsia="仿宋_GB2312" w:cs="仿宋_GB2312"/>
          <w:color w:val="auto"/>
          <w:kern w:val="0"/>
          <w:sz w:val="32"/>
          <w:szCs w:val="32"/>
        </w:rPr>
        <w:t>》</w:t>
      </w:r>
      <w:r>
        <w:rPr>
          <w:rFonts w:hint="eastAsia" w:ascii="仿宋_GB2312" w:hAnsi="Times New Roman" w:eastAsia="仿宋_GB2312" w:cs="仿宋_GB2312"/>
          <w:color w:val="auto"/>
          <w:kern w:val="0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Times New Roman" w:eastAsia="仿宋_GB2312" w:cs="仿宋_GB2312"/>
          <w:color w:val="auto"/>
          <w:kern w:val="0"/>
          <w:sz w:val="32"/>
          <w:szCs w:val="32"/>
          <w:lang w:val="en-US" w:eastAsia="zh-CN" w:bidi="ar-SA"/>
        </w:rPr>
        <w:instrText xml:space="preserve"> HYPERLINK "https://www.waizi.org.cn/doc/35709.html" \o "《兽药经营质量管理规范》农业部令2010年第3号（全文）" \t "https://www.waizi.org.cn/doc/_blank" </w:instrText>
      </w:r>
      <w:r>
        <w:rPr>
          <w:rFonts w:hint="eastAsia" w:ascii="仿宋_GB2312" w:hAnsi="Times New Roman" w:eastAsia="仿宋_GB2312" w:cs="仿宋_GB2312"/>
          <w:color w:val="auto"/>
          <w:kern w:val="0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仿宋_GB2312" w:hAnsi="Times New Roman" w:eastAsia="仿宋_GB2312" w:cs="仿宋_GB2312"/>
          <w:color w:val="auto"/>
          <w:kern w:val="0"/>
          <w:sz w:val="32"/>
          <w:szCs w:val="32"/>
          <w:lang w:val="en-US" w:eastAsia="zh-CN" w:bidi="ar-SA"/>
        </w:rPr>
        <w:t>农业部令2010年第3号</w:t>
      </w:r>
      <w:r>
        <w:rPr>
          <w:rFonts w:hint="eastAsia" w:ascii="仿宋_GB2312" w:hAnsi="Times New Roman" w:eastAsia="仿宋_GB2312" w:cs="仿宋_GB2312"/>
          <w:color w:val="auto"/>
          <w:kern w:val="0"/>
          <w:sz w:val="32"/>
          <w:szCs w:val="32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受理机构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株洲市芦淞区农业农村局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五、决定机构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株洲市芦淞区农业农村局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" w:eastAsia="仿宋_GB2312" w:cstheme="minorBidi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六、申请条件及承诺内容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firstLine="320" w:firstLineChars="100"/>
        <w:textAlignment w:val="auto"/>
        <w:rPr>
          <w:rFonts w:hint="eastAsia" w:ascii="楷体" w:hAnsi="楷体" w:eastAsia="楷体" w:cs="楷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 w:val="0"/>
          <w:bCs w:val="0"/>
          <w:kern w:val="2"/>
          <w:sz w:val="32"/>
          <w:szCs w:val="32"/>
          <w:lang w:val="en-US" w:eastAsia="zh-CN" w:bidi="ar-SA"/>
        </w:rPr>
        <w:t>（1）申请条件：</w:t>
      </w:r>
    </w:p>
    <w:p>
      <w:pPr>
        <w:keepNext w:val="0"/>
        <w:keepLines w:val="0"/>
        <w:pageBreakBefore w:val="0"/>
        <w:widowControl/>
        <w:kinsoku/>
        <w:wordWrap/>
        <w:topLinePunct w:val="0"/>
        <w:bidi w:val="0"/>
        <w:spacing w:line="600" w:lineRule="exact"/>
        <w:ind w:left="141" w:firstLine="640"/>
        <w:jc w:val="left"/>
        <w:textAlignment w:val="auto"/>
        <w:rPr>
          <w:rFonts w:hint="default" w:ascii="仿宋_GB2312" w:hAnsi="微软雅黑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宋体"/>
          <w:kern w:val="0"/>
          <w:sz w:val="32"/>
          <w:szCs w:val="32"/>
          <w:lang w:val="en-US" w:eastAsia="zh-CN"/>
        </w:rPr>
        <w:t>1.兽药经营企业应建立与经营品种、经营规模相适应的质量管理机构或至少配备一名专职质量管理人员。质量管理人员应具有兽药、兽医等相关专业中专以上学历，或取得相关专业初级或以上技术职称，或取得执业兽医资格证书，具备相应的动物疾病诊疗、疫病防控和使用兽药等专业知识</w:t>
      </w:r>
      <w:r>
        <w:rPr>
          <w:rFonts w:hint="default" w:ascii="仿宋_GB2312" w:hAnsi="微软雅黑" w:eastAsia="仿宋_GB2312" w:cs="宋体"/>
          <w:kern w:val="0"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topLinePunct w:val="0"/>
        <w:bidi w:val="0"/>
        <w:spacing w:line="600" w:lineRule="exact"/>
        <w:ind w:left="141" w:firstLine="640"/>
        <w:jc w:val="left"/>
        <w:textAlignment w:val="auto"/>
        <w:rPr>
          <w:rFonts w:hint="eastAsia" w:ascii="仿宋_GB2312" w:hAnsi="微软雅黑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宋体"/>
          <w:kern w:val="0"/>
          <w:sz w:val="32"/>
          <w:szCs w:val="32"/>
          <w:lang w:val="en-US" w:eastAsia="zh-CN"/>
        </w:rPr>
        <w:t>2.</w:t>
      </w:r>
      <w:r>
        <w:rPr>
          <w:rFonts w:hint="default" w:ascii="仿宋_GB2312" w:hAnsi="微软雅黑" w:eastAsia="仿宋_GB2312" w:cs="宋体"/>
          <w:kern w:val="0"/>
          <w:sz w:val="32"/>
          <w:szCs w:val="32"/>
          <w:lang w:val="en-US" w:eastAsia="zh-CN"/>
        </w:rPr>
        <w:t>兽药经营企业应当有固定独立的经营场所，经营场所面积应不小于20㎡</w:t>
      </w:r>
      <w:r>
        <w:rPr>
          <w:rFonts w:hint="eastAsia" w:ascii="仿宋_GB2312" w:hAnsi="微软雅黑" w:eastAsia="仿宋_GB2312" w:cs="宋体"/>
          <w:kern w:val="0"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topLinePunct w:val="0"/>
        <w:bidi w:val="0"/>
        <w:spacing w:line="600" w:lineRule="exact"/>
        <w:ind w:left="141" w:firstLine="640"/>
        <w:jc w:val="left"/>
        <w:textAlignment w:val="auto"/>
        <w:rPr>
          <w:rFonts w:hint="default" w:ascii="仿宋_GB2312" w:hAnsi="微软雅黑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宋体"/>
          <w:kern w:val="0"/>
          <w:sz w:val="32"/>
          <w:szCs w:val="32"/>
          <w:lang w:val="en-US" w:eastAsia="zh-CN"/>
        </w:rPr>
        <w:t>3.</w:t>
      </w:r>
      <w:r>
        <w:rPr>
          <w:rFonts w:hint="default" w:ascii="仿宋_GB2312" w:hAnsi="微软雅黑" w:eastAsia="仿宋_GB2312" w:cs="宋体"/>
          <w:kern w:val="0"/>
          <w:sz w:val="32"/>
          <w:szCs w:val="32"/>
          <w:lang w:val="en-US" w:eastAsia="zh-CN"/>
        </w:rPr>
        <w:t>兽药经营场所应有相应的办公设备,配备有专门用于兽药经营使用的办公电脑，有能满足所经营兽药能按照处方药、非处方药及兽药类别与兽药剂型分别陈列的货架、橱柜和柜台</w:t>
      </w:r>
      <w:r>
        <w:rPr>
          <w:rFonts w:hint="eastAsia" w:ascii="仿宋_GB2312" w:hAnsi="微软雅黑" w:eastAsia="仿宋_GB2312" w:cs="宋体"/>
          <w:kern w:val="0"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topLinePunct w:val="0"/>
        <w:bidi w:val="0"/>
        <w:spacing w:line="600" w:lineRule="exact"/>
        <w:ind w:left="141" w:firstLine="640"/>
        <w:jc w:val="left"/>
        <w:textAlignment w:val="auto"/>
        <w:rPr>
          <w:rFonts w:hint="default" w:ascii="仿宋_GB2312" w:hAnsi="微软雅黑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宋体"/>
          <w:kern w:val="0"/>
          <w:sz w:val="32"/>
          <w:szCs w:val="32"/>
          <w:lang w:val="en-US" w:eastAsia="zh-CN"/>
        </w:rPr>
        <w:t>4.</w:t>
      </w:r>
      <w:r>
        <w:rPr>
          <w:rFonts w:hint="default" w:ascii="仿宋_GB2312" w:hAnsi="微软雅黑" w:eastAsia="仿宋_GB2312" w:cs="宋体"/>
          <w:kern w:val="0"/>
          <w:sz w:val="32"/>
          <w:szCs w:val="32"/>
          <w:lang w:val="en-US" w:eastAsia="zh-CN"/>
        </w:rPr>
        <w:t>兽药经营企业应当有固定独立的兽药仓库，应设有常温仓库和阴凉仓库，总面积应不小于40㎡</w:t>
      </w:r>
      <w:r>
        <w:rPr>
          <w:rFonts w:hint="eastAsia" w:ascii="仿宋_GB2312" w:hAnsi="微软雅黑" w:eastAsia="仿宋_GB2312" w:cs="宋体"/>
          <w:kern w:val="0"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topLinePunct w:val="0"/>
        <w:bidi w:val="0"/>
        <w:spacing w:line="600" w:lineRule="exact"/>
        <w:ind w:left="141" w:firstLine="640"/>
        <w:jc w:val="left"/>
        <w:textAlignment w:val="auto"/>
        <w:rPr>
          <w:rFonts w:hint="eastAsia" w:ascii="仿宋_GB2312" w:hAnsi="微软雅黑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宋体"/>
          <w:kern w:val="0"/>
          <w:sz w:val="32"/>
          <w:szCs w:val="32"/>
          <w:lang w:val="en-US" w:eastAsia="zh-CN"/>
        </w:rPr>
        <w:t>5.</w:t>
      </w:r>
      <w:r>
        <w:rPr>
          <w:rFonts w:hint="default" w:ascii="仿宋_GB2312" w:hAnsi="微软雅黑" w:eastAsia="仿宋_GB2312" w:cs="宋体"/>
          <w:kern w:val="0"/>
          <w:sz w:val="32"/>
          <w:szCs w:val="32"/>
          <w:lang w:val="en-US" w:eastAsia="zh-CN"/>
        </w:rPr>
        <w:t>兽药仓库应有照明、通风、避光、防潮、防尘、防污染、防虫鼠、防火和进行温、湿度监控的设施、设备</w:t>
      </w:r>
      <w:r>
        <w:rPr>
          <w:rFonts w:hint="eastAsia" w:ascii="仿宋_GB2312" w:hAnsi="微软雅黑" w:eastAsia="仿宋_GB2312" w:cs="宋体"/>
          <w:kern w:val="0"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topLinePunct w:val="0"/>
        <w:bidi w:val="0"/>
        <w:spacing w:line="600" w:lineRule="exact"/>
        <w:ind w:left="141" w:firstLine="640"/>
        <w:jc w:val="left"/>
        <w:textAlignment w:val="auto"/>
        <w:rPr>
          <w:rFonts w:hint="default" w:ascii="仿宋_GB2312" w:hAnsi="微软雅黑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宋体"/>
          <w:kern w:val="0"/>
          <w:sz w:val="32"/>
          <w:szCs w:val="32"/>
          <w:lang w:val="en-US" w:eastAsia="zh-CN"/>
        </w:rPr>
        <w:t>6.</w:t>
      </w:r>
      <w:r>
        <w:rPr>
          <w:rFonts w:hint="eastAsia" w:ascii="仿宋_GB2312" w:hAnsi="微软雅黑" w:eastAsia="仿宋_GB2312" w:cs="宋体"/>
          <w:kern w:val="0"/>
          <w:sz w:val="32"/>
          <w:szCs w:val="32"/>
        </w:rPr>
        <w:t>申报资料清晰、完整、齐全。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firstLine="320" w:firstLineChars="100"/>
        <w:textAlignment w:val="auto"/>
        <w:rPr>
          <w:rFonts w:hint="eastAsia" w:ascii="楷体" w:hAnsi="楷体" w:eastAsia="楷体" w:cs="楷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 w:val="0"/>
          <w:bCs w:val="0"/>
          <w:kern w:val="2"/>
          <w:sz w:val="32"/>
          <w:szCs w:val="32"/>
          <w:lang w:val="en-US" w:eastAsia="zh-CN" w:bidi="ar-SA"/>
        </w:rPr>
        <w:t>承诺内容：</w:t>
      </w:r>
    </w:p>
    <w:p>
      <w:pPr>
        <w:keepNext w:val="0"/>
        <w:keepLines w:val="0"/>
        <w:pageBreakBefore w:val="0"/>
        <w:widowControl/>
        <w:kinsoku/>
        <w:wordWrap/>
        <w:topLinePunct w:val="0"/>
        <w:bidi w:val="0"/>
        <w:spacing w:line="600" w:lineRule="exact"/>
        <w:ind w:left="141" w:firstLine="640"/>
        <w:jc w:val="left"/>
        <w:textAlignment w:val="auto"/>
        <w:rPr>
          <w:rFonts w:ascii="仿宋_GB2312" w:hAnsi="微软雅黑" w:eastAsia="仿宋_GB2312" w:cs="宋体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kern w:val="0"/>
          <w:sz w:val="32"/>
          <w:szCs w:val="32"/>
        </w:rPr>
        <w:t>1. 所填写的相关信息真实、准确；</w:t>
      </w:r>
    </w:p>
    <w:p>
      <w:pPr>
        <w:keepNext w:val="0"/>
        <w:keepLines w:val="0"/>
        <w:pageBreakBefore w:val="0"/>
        <w:widowControl/>
        <w:kinsoku/>
        <w:wordWrap/>
        <w:topLinePunct w:val="0"/>
        <w:bidi w:val="0"/>
        <w:spacing w:line="600" w:lineRule="exact"/>
        <w:ind w:left="141" w:firstLine="640"/>
        <w:jc w:val="left"/>
        <w:textAlignment w:val="auto"/>
        <w:rPr>
          <w:rFonts w:ascii="仿宋_GB2312" w:hAnsi="微软雅黑" w:eastAsia="仿宋_GB2312" w:cs="宋体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kern w:val="0"/>
          <w:sz w:val="32"/>
          <w:szCs w:val="32"/>
        </w:rPr>
        <w:t>2. 已经知悉资质认定部门告知的全部内容；</w:t>
      </w:r>
    </w:p>
    <w:p>
      <w:pPr>
        <w:keepNext w:val="0"/>
        <w:keepLines w:val="0"/>
        <w:pageBreakBefore w:val="0"/>
        <w:widowControl/>
        <w:kinsoku/>
        <w:wordWrap/>
        <w:topLinePunct w:val="0"/>
        <w:bidi w:val="0"/>
        <w:spacing w:line="600" w:lineRule="exact"/>
        <w:ind w:left="141" w:firstLine="640"/>
        <w:jc w:val="left"/>
        <w:textAlignment w:val="auto"/>
        <w:rPr>
          <w:rFonts w:ascii="仿宋_GB2312" w:hAnsi="微软雅黑" w:eastAsia="仿宋_GB2312" w:cs="宋体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kern w:val="0"/>
          <w:sz w:val="32"/>
          <w:szCs w:val="32"/>
        </w:rPr>
        <w:t>3. 本机构能够符合资质认定部门告知的条件和技术能力要求，并按照规定接受后续核查；</w:t>
      </w:r>
    </w:p>
    <w:p>
      <w:pPr>
        <w:keepNext w:val="0"/>
        <w:keepLines w:val="0"/>
        <w:pageBreakBefore w:val="0"/>
        <w:widowControl/>
        <w:kinsoku/>
        <w:wordWrap/>
        <w:topLinePunct w:val="0"/>
        <w:bidi w:val="0"/>
        <w:spacing w:line="600" w:lineRule="exact"/>
        <w:ind w:left="141" w:firstLine="640"/>
        <w:jc w:val="left"/>
        <w:textAlignment w:val="auto"/>
        <w:rPr>
          <w:rFonts w:ascii="仿宋_GB2312" w:hAnsi="微软雅黑" w:eastAsia="仿宋_GB2312" w:cs="宋体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kern w:val="0"/>
          <w:sz w:val="32"/>
          <w:szCs w:val="32"/>
        </w:rPr>
        <w:t>4. 本机构能够提交资质认定部门告知的相关材料；</w:t>
      </w:r>
    </w:p>
    <w:p>
      <w:pPr>
        <w:keepNext w:val="0"/>
        <w:keepLines w:val="0"/>
        <w:pageBreakBefore w:val="0"/>
        <w:widowControl/>
        <w:kinsoku/>
        <w:wordWrap/>
        <w:topLinePunct w:val="0"/>
        <w:bidi w:val="0"/>
        <w:spacing w:line="600" w:lineRule="exact"/>
        <w:ind w:left="141" w:firstLine="640"/>
        <w:jc w:val="left"/>
        <w:textAlignment w:val="auto"/>
        <w:rPr>
          <w:rFonts w:ascii="仿宋_GB2312" w:hAnsi="微软雅黑" w:eastAsia="仿宋_GB2312" w:cs="宋体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kern w:val="0"/>
          <w:sz w:val="32"/>
          <w:szCs w:val="32"/>
        </w:rPr>
        <w:t>5. 愿意承担虚假承诺或者承诺内容严重不实所引发的相应法律责任；</w:t>
      </w:r>
    </w:p>
    <w:p>
      <w:pPr>
        <w:keepNext w:val="0"/>
        <w:keepLines w:val="0"/>
        <w:pageBreakBefore w:val="0"/>
        <w:widowControl/>
        <w:kinsoku/>
        <w:wordWrap/>
        <w:topLinePunct w:val="0"/>
        <w:bidi w:val="0"/>
        <w:spacing w:line="600" w:lineRule="exact"/>
        <w:ind w:left="141" w:firstLine="640"/>
        <w:jc w:val="left"/>
        <w:textAlignment w:val="auto"/>
        <w:rPr>
          <w:rFonts w:hint="default" w:ascii="楷体" w:hAnsi="楷体" w:eastAsia="楷体" w:cs="楷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微软雅黑" w:eastAsia="仿宋_GB2312" w:cs="宋体"/>
          <w:kern w:val="0"/>
          <w:sz w:val="32"/>
          <w:szCs w:val="32"/>
        </w:rPr>
        <w:t>6. 所作承诺是本机构的真实意思表示。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七、申请材料及告知承诺方式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firstLine="320" w:firstLineChars="100"/>
        <w:textAlignment w:val="auto"/>
        <w:rPr>
          <w:rFonts w:hint="eastAsia" w:ascii="楷体" w:hAnsi="楷体" w:eastAsia="楷体" w:cs="楷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 w:val="0"/>
          <w:bCs w:val="0"/>
          <w:kern w:val="2"/>
          <w:sz w:val="32"/>
          <w:szCs w:val="32"/>
          <w:lang w:val="en-US" w:eastAsia="zh-CN" w:bidi="ar-SA"/>
        </w:rPr>
        <w:t>（一）申请材料：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申请办理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eastAsia="zh-CN"/>
        </w:rPr>
        <w:t>兽药经营许可证核发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的单位，应当向所在地的株洲市芦淞区农业农村局提出申请，并提供下列申请材料：</w:t>
      </w:r>
    </w:p>
    <w:p>
      <w:pPr>
        <w:keepNext w:val="0"/>
        <w:keepLines w:val="0"/>
        <w:pageBreakBefore w:val="0"/>
        <w:kinsoku/>
        <w:wordWrap/>
        <w:topLinePunct w:val="0"/>
        <w:bidi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1.兽药经营许可证申请表；</w:t>
      </w:r>
    </w:p>
    <w:p>
      <w:pPr>
        <w:keepNext w:val="0"/>
        <w:keepLines w:val="0"/>
        <w:pageBreakBefore w:val="0"/>
        <w:kinsoku/>
        <w:wordWrap/>
        <w:topLinePunct w:val="0"/>
        <w:bidi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2.企业组织机构图；</w:t>
      </w:r>
    </w:p>
    <w:p>
      <w:pPr>
        <w:pStyle w:val="2"/>
        <w:keepNext w:val="0"/>
        <w:keepLines w:val="0"/>
        <w:pageBreakBefore w:val="0"/>
        <w:kinsoku/>
        <w:wordWrap/>
        <w:topLinePunct w:val="0"/>
        <w:bidi w:val="0"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3.企业人员情况一览表；</w:t>
      </w:r>
    </w:p>
    <w:p>
      <w:pPr>
        <w:pStyle w:val="2"/>
        <w:keepNext w:val="0"/>
        <w:keepLines w:val="0"/>
        <w:pageBreakBefore w:val="0"/>
        <w:kinsoku/>
        <w:wordWrap/>
        <w:topLinePunct w:val="0"/>
        <w:bidi w:val="0"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劳务聘用合同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</w:t>
      </w:r>
    </w:p>
    <w:p>
      <w:pPr>
        <w:pStyle w:val="2"/>
        <w:keepNext w:val="0"/>
        <w:keepLines w:val="0"/>
        <w:pageBreakBefore w:val="0"/>
        <w:kinsoku/>
        <w:wordWrap/>
        <w:topLinePunct w:val="0"/>
        <w:bidi w:val="0"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5.企业人员学历/资格证书（复印件）；</w:t>
      </w:r>
    </w:p>
    <w:p>
      <w:pPr>
        <w:pStyle w:val="2"/>
        <w:keepNext w:val="0"/>
        <w:keepLines w:val="0"/>
        <w:pageBreakBefore w:val="0"/>
        <w:kinsoku/>
        <w:wordWrap/>
        <w:topLinePunct w:val="0"/>
        <w:bidi w:val="0"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6.企业经营设施设备情况表（包括兽药产品追溯设备）；</w:t>
      </w:r>
    </w:p>
    <w:p>
      <w:pPr>
        <w:pStyle w:val="2"/>
        <w:keepNext w:val="0"/>
        <w:keepLines w:val="0"/>
        <w:pageBreakBefore w:val="0"/>
        <w:kinsoku/>
        <w:wordWrap/>
        <w:topLinePunct w:val="0"/>
        <w:bidi w:val="0"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7.兽药经营场所室内平面图和各功能区布局图（标注面积）；</w:t>
      </w:r>
    </w:p>
    <w:p>
      <w:pPr>
        <w:pStyle w:val="2"/>
        <w:keepNext w:val="0"/>
        <w:keepLines w:val="0"/>
        <w:pageBreakBefore w:val="0"/>
        <w:kinsoku/>
        <w:wordWrap/>
        <w:topLinePunct w:val="0"/>
        <w:bidi w:val="0"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8.兽药质量管理制度；</w:t>
      </w:r>
    </w:p>
    <w:p>
      <w:pPr>
        <w:pStyle w:val="2"/>
        <w:keepNext w:val="0"/>
        <w:keepLines w:val="0"/>
        <w:pageBreakBefore w:val="0"/>
        <w:kinsoku/>
        <w:wordWrap/>
        <w:topLinePunct w:val="0"/>
        <w:bidi w:val="0"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9.兽药经营记录；</w:t>
      </w:r>
    </w:p>
    <w:p>
      <w:pPr>
        <w:pStyle w:val="2"/>
        <w:keepNext w:val="0"/>
        <w:keepLines w:val="0"/>
        <w:pageBreakBefore w:val="0"/>
        <w:kinsoku/>
        <w:wordWrap/>
        <w:topLinePunct w:val="0"/>
        <w:bidi w:val="0"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10.兽药经营企业销售的产品目录；</w:t>
      </w:r>
    </w:p>
    <w:p>
      <w:pPr>
        <w:pStyle w:val="2"/>
        <w:keepNext w:val="0"/>
        <w:keepLines w:val="0"/>
        <w:pageBreakBefore w:val="0"/>
        <w:kinsoku/>
        <w:wordWrap/>
        <w:topLinePunct w:val="0"/>
        <w:bidi w:val="0"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11.兽药经营场所使用权证明（复印件）；</w:t>
      </w:r>
    </w:p>
    <w:p>
      <w:pPr>
        <w:pStyle w:val="2"/>
        <w:keepNext w:val="0"/>
        <w:keepLines w:val="0"/>
        <w:pageBreakBefore w:val="0"/>
        <w:kinsoku/>
        <w:wordWrap/>
        <w:topLinePunct w:val="0"/>
        <w:bidi w:val="0"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12.兽药生产厂家资料及授权书（复印件）；</w:t>
      </w:r>
    </w:p>
    <w:p>
      <w:pPr>
        <w:pStyle w:val="2"/>
        <w:keepNext w:val="0"/>
        <w:keepLines w:val="0"/>
        <w:pageBreakBefore w:val="0"/>
        <w:kinsoku/>
        <w:wordWrap/>
        <w:topLinePunct w:val="0"/>
        <w:bidi w:val="0"/>
        <w:spacing w:line="600" w:lineRule="exact"/>
        <w:ind w:firstLine="640"/>
        <w:textAlignment w:val="auto"/>
        <w:rPr>
          <w:rFonts w:hint="default" w:ascii="楷体" w:hAnsi="楷体" w:eastAsia="楷体" w:cs="楷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营业执照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正本（复印件）。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firstLine="320" w:firstLineChars="100"/>
        <w:textAlignment w:val="auto"/>
        <w:rPr>
          <w:rFonts w:hint="eastAsia" w:ascii="楷体" w:hAnsi="楷体" w:eastAsia="楷体" w:cs="楷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 w:val="0"/>
          <w:bCs w:val="0"/>
          <w:kern w:val="2"/>
          <w:sz w:val="32"/>
          <w:szCs w:val="32"/>
          <w:lang w:val="en-US" w:eastAsia="zh-CN" w:bidi="ar-SA"/>
        </w:rPr>
        <w:t>告知承诺方式：</w:t>
      </w:r>
    </w:p>
    <w:p>
      <w:pPr>
        <w:pStyle w:val="2"/>
        <w:keepNext w:val="0"/>
        <w:keepLines w:val="0"/>
        <w:pageBreakBefore w:val="0"/>
        <w:kinsoku/>
        <w:wordWrap/>
        <w:topLinePunct w:val="0"/>
        <w:bidi w:val="0"/>
        <w:spacing w:line="600" w:lineRule="exact"/>
        <w:ind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告知承诺书格式文本可从</w:t>
      </w:r>
      <w:r>
        <w:rPr>
          <w:rFonts w:hint="default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株洲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市芦淞区政务服务中心</w:t>
      </w:r>
      <w:r>
        <w:rPr>
          <w:rFonts w:hint="default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、株洲市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芦淞区</w:t>
      </w:r>
      <w:r>
        <w:rPr>
          <w:rFonts w:hint="default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政府网站、株洲市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芦淞区</w:t>
      </w:r>
      <w:r>
        <w:rPr>
          <w:rFonts w:hint="default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政务服务旗舰店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等平台处获取，申请人可自行打印、填写</w:t>
      </w:r>
      <w:r>
        <w:rPr>
          <w:rFonts w:hint="default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并在申请办理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eastAsia="zh-CN"/>
        </w:rPr>
        <w:t>兽药经营许可证核发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手续业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务时与应当提交的其他材料一并提交。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八、申请接收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接收方式：</w:t>
      </w:r>
      <w:r>
        <w:rPr>
          <w:rFonts w:ascii="Times New Roman" w:hAnsi="Times New Roman" w:eastAsia="仿宋"/>
          <w:bCs/>
          <w:sz w:val="32"/>
          <w:szCs w:val="32"/>
        </w:rPr>
        <w:t>株洲市</w:t>
      </w:r>
      <w:r>
        <w:rPr>
          <w:rFonts w:hint="eastAsia" w:ascii="Times New Roman" w:hAnsi="Times New Roman" w:eastAsia="仿宋"/>
          <w:bCs/>
          <w:sz w:val="32"/>
          <w:szCs w:val="32"/>
          <w:lang w:eastAsia="zh-CN"/>
        </w:rPr>
        <w:t>芦淞区枫溪大道</w:t>
      </w:r>
      <w:r>
        <w:rPr>
          <w:rFonts w:hint="eastAsia" w:ascii="Times New Roman" w:hAnsi="Times New Roman" w:eastAsia="仿宋"/>
          <w:bCs/>
          <w:sz w:val="32"/>
          <w:szCs w:val="32"/>
          <w:lang w:val="en-US" w:eastAsia="zh-CN"/>
        </w:rPr>
        <w:t>668号政务服务中心综合</w:t>
      </w:r>
      <w:r>
        <w:rPr>
          <w:rFonts w:hint="eastAsia" w:ascii="Times New Roman" w:hAnsi="Times New Roman" w:eastAsia="仿宋"/>
          <w:bCs/>
          <w:sz w:val="32"/>
          <w:szCs w:val="32"/>
          <w:lang w:eastAsia="zh-CN"/>
        </w:rPr>
        <w:t>窗口。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left="580" w:leftChars="0" w:firstLine="0" w:firstLineChars="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办理流程</w:t>
      </w:r>
    </w:p>
    <w:p>
      <w:pPr>
        <w:keepNext w:val="0"/>
        <w:keepLines w:val="0"/>
        <w:pageBreakBefore w:val="0"/>
        <w:widowControl/>
        <w:kinsoku/>
        <w:wordWrap/>
        <w:topLinePunct w:val="0"/>
        <w:bidi w:val="0"/>
        <w:spacing w:line="600" w:lineRule="exact"/>
        <w:ind w:firstLine="704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4"/>
          <w:sz w:val="32"/>
          <w:szCs w:val="32"/>
        </w:rPr>
        <w:t>受理→</w:t>
      </w:r>
      <w:r>
        <w:rPr>
          <w:rFonts w:hint="eastAsia" w:ascii="仿宋" w:hAnsi="仿宋" w:eastAsia="仿宋" w:cs="仿宋"/>
          <w:color w:val="auto"/>
          <w:spacing w:val="-4"/>
          <w:sz w:val="32"/>
          <w:szCs w:val="32"/>
          <w:lang w:eastAsia="zh-CN"/>
        </w:rPr>
        <w:t>审核</w:t>
      </w:r>
      <w:r>
        <w:rPr>
          <w:rFonts w:hint="eastAsia" w:ascii="仿宋" w:hAnsi="仿宋" w:eastAsia="仿宋" w:cs="仿宋"/>
          <w:color w:val="auto"/>
          <w:spacing w:val="-4"/>
          <w:sz w:val="32"/>
          <w:szCs w:val="32"/>
        </w:rPr>
        <w:t>→办结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十、审批时限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firstLine="320" w:firstLineChars="100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（1）法定办结时限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30个工作日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；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firstLine="320" w:firstLineChars="100"/>
        <w:textAlignment w:val="auto"/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（2）告知承诺制方式办理时限：申请人自愿签署告知承诺书，提交材料齐全符合法定形式，当场作出行政许可决定。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十一、审批收费依据及标准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不收费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十二、审批结果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颁发《兽药经营许可证》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十三、结果送达</w:t>
      </w:r>
    </w:p>
    <w:p>
      <w:pPr>
        <w:keepNext w:val="0"/>
        <w:keepLines w:val="0"/>
        <w:pageBreakBefore w:val="0"/>
        <w:widowControl/>
        <w:kinsoku/>
        <w:wordWrap/>
        <w:topLinePunct w:val="0"/>
        <w:bidi w:val="0"/>
        <w:spacing w:line="600" w:lineRule="exact"/>
        <w:ind w:firstLine="704"/>
        <w:textAlignment w:val="auto"/>
        <w:rPr>
          <w:rFonts w:ascii="仿宋_GB2312" w:hAnsi="微软雅黑" w:eastAsia="仿宋_GB2312" w:cs="宋体"/>
          <w:color w:val="FF0000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</w:rPr>
        <w:t>作出行政许可决定后，</w:t>
      </w: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  <w:lang w:eastAsia="zh-CN"/>
        </w:rPr>
        <w:t>电话通知申请人</w:t>
      </w: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</w:rPr>
        <w:t>领取证件</w:t>
      </w:r>
      <w:r>
        <w:rPr>
          <w:rFonts w:hint="eastAsia" w:ascii="仿宋_GB2312" w:hAnsi="微软雅黑" w:eastAsia="仿宋_GB2312" w:cs="宋体"/>
          <w:color w:val="auto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咨询电话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0731-28580780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left="0" w:leftChars="0" w:firstLine="640" w:firstLineChars="200"/>
        <w:textAlignment w:val="auto"/>
        <w:rPr>
          <w:rFonts w:hint="eastAsia"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  <w:lang w:eastAsia="zh-CN"/>
        </w:rPr>
        <w:t>办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理时间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冬季时间：星期一至星期五上午 9： 00—12:00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，</w:t>
      </w:r>
      <w:r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下午 13:30—17:30（法定节假日除外）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夏季时间：星期一至星期五上午 9： 00—12:00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，</w:t>
      </w:r>
      <w:r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下午 14:00—18:00（法定节假日除外）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beforeAutospacing="0" w:afterAutospacing="0" w:line="600" w:lineRule="exact"/>
        <w:rPr>
          <w:rFonts w:hint="default" w:eastAsiaTheme="minorEastAsia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</w:rPr>
      <w:t>12</w:t>
    </w:r>
    <w:r>
      <w:fldChar w:fldCharType="end"/>
    </w:r>
  </w:p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FB4969"/>
    <w:multiLevelType w:val="singleLevel"/>
    <w:tmpl w:val="A9FB4969"/>
    <w:lvl w:ilvl="0" w:tentative="0">
      <w:start w:val="1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C11B00C"/>
    <w:multiLevelType w:val="singleLevel"/>
    <w:tmpl w:val="AC11B00C"/>
    <w:lvl w:ilvl="0" w:tentative="0">
      <w:start w:val="9"/>
      <w:numFmt w:val="chineseCounting"/>
      <w:suff w:val="nothing"/>
      <w:lvlText w:val="%1、"/>
      <w:lvlJc w:val="left"/>
      <w:pPr>
        <w:ind w:left="580" w:leftChars="0" w:firstLine="0" w:firstLineChars="0"/>
      </w:pPr>
      <w:rPr>
        <w:rFonts w:hint="eastAsia"/>
      </w:rPr>
    </w:lvl>
  </w:abstractNum>
  <w:abstractNum w:abstractNumId="2">
    <w:nsid w:val="BC439AFA"/>
    <w:multiLevelType w:val="singleLevel"/>
    <w:tmpl w:val="BC439AF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13FC61A2"/>
    <w:multiLevelType w:val="singleLevel"/>
    <w:tmpl w:val="13FC61A2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4FA7DB15"/>
    <w:multiLevelType w:val="singleLevel"/>
    <w:tmpl w:val="4FA7DB15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8B3FA2"/>
    <w:rsid w:val="066E7870"/>
    <w:rsid w:val="07276B27"/>
    <w:rsid w:val="0755500B"/>
    <w:rsid w:val="0DA0762C"/>
    <w:rsid w:val="0EA07317"/>
    <w:rsid w:val="0FBA607C"/>
    <w:rsid w:val="1042086C"/>
    <w:rsid w:val="11097418"/>
    <w:rsid w:val="12081FC5"/>
    <w:rsid w:val="12AB6745"/>
    <w:rsid w:val="137809C6"/>
    <w:rsid w:val="158207B8"/>
    <w:rsid w:val="15CA3481"/>
    <w:rsid w:val="15DE189A"/>
    <w:rsid w:val="17327F0A"/>
    <w:rsid w:val="1A5963BD"/>
    <w:rsid w:val="1D0E7954"/>
    <w:rsid w:val="1E5E2C7C"/>
    <w:rsid w:val="1E8A274B"/>
    <w:rsid w:val="1FC62EAB"/>
    <w:rsid w:val="20562FB3"/>
    <w:rsid w:val="21EC60D6"/>
    <w:rsid w:val="226F6227"/>
    <w:rsid w:val="24AF5FBC"/>
    <w:rsid w:val="27A340E8"/>
    <w:rsid w:val="2817632C"/>
    <w:rsid w:val="288B29AC"/>
    <w:rsid w:val="295F7197"/>
    <w:rsid w:val="2BA6120A"/>
    <w:rsid w:val="2BA667A4"/>
    <w:rsid w:val="2BFF107E"/>
    <w:rsid w:val="2D0E00C2"/>
    <w:rsid w:val="2EF667AF"/>
    <w:rsid w:val="31066A8A"/>
    <w:rsid w:val="31901CBA"/>
    <w:rsid w:val="32EC03FA"/>
    <w:rsid w:val="34075951"/>
    <w:rsid w:val="3642089F"/>
    <w:rsid w:val="391D60BC"/>
    <w:rsid w:val="3C215F6C"/>
    <w:rsid w:val="40E94851"/>
    <w:rsid w:val="41B82234"/>
    <w:rsid w:val="460849E4"/>
    <w:rsid w:val="48F02E86"/>
    <w:rsid w:val="49C56C82"/>
    <w:rsid w:val="4C3E08B2"/>
    <w:rsid w:val="4DFA00F3"/>
    <w:rsid w:val="4E1A6AFA"/>
    <w:rsid w:val="4E360A4E"/>
    <w:rsid w:val="50523385"/>
    <w:rsid w:val="51AB7B4F"/>
    <w:rsid w:val="54DC0236"/>
    <w:rsid w:val="59693CA1"/>
    <w:rsid w:val="598F6750"/>
    <w:rsid w:val="59B1288B"/>
    <w:rsid w:val="5ADC73F4"/>
    <w:rsid w:val="5B4669F5"/>
    <w:rsid w:val="5B9A3911"/>
    <w:rsid w:val="5D8C0C07"/>
    <w:rsid w:val="5D935CED"/>
    <w:rsid w:val="5EA90EE2"/>
    <w:rsid w:val="640531D2"/>
    <w:rsid w:val="66253C38"/>
    <w:rsid w:val="6C0128F0"/>
    <w:rsid w:val="6C2F2B9F"/>
    <w:rsid w:val="6DCD4B4B"/>
    <w:rsid w:val="6E1A1564"/>
    <w:rsid w:val="701B055C"/>
    <w:rsid w:val="715B2E69"/>
    <w:rsid w:val="72D52666"/>
    <w:rsid w:val="75781B77"/>
    <w:rsid w:val="76D16BAE"/>
    <w:rsid w:val="77340103"/>
    <w:rsid w:val="77E10F93"/>
    <w:rsid w:val="78445E9C"/>
    <w:rsid w:val="7A6601AE"/>
    <w:rsid w:val="7B7D6F21"/>
    <w:rsid w:val="7D2A254B"/>
    <w:rsid w:val="7DD344AA"/>
    <w:rsid w:val="7EE36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widowControl w:val="0"/>
      <w:autoSpaceDE w:val="0"/>
      <w:autoSpaceDN w:val="0"/>
      <w:adjustRightInd/>
      <w:snapToGrid/>
      <w:spacing w:after="0"/>
    </w:pPr>
    <w:rPr>
      <w:rFonts w:ascii="宋体" w:hAnsi="宋体" w:eastAsia="宋体" w:cs="宋体"/>
      <w:sz w:val="31"/>
      <w:szCs w:val="31"/>
      <w:lang w:val="zh-CN" w:bidi="zh-C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page number"/>
    <w:basedOn w:val="9"/>
    <w:qFormat/>
    <w:uiPriority w:val="0"/>
  </w:style>
  <w:style w:type="character" w:styleId="12">
    <w:name w:val="Hyperlink"/>
    <w:basedOn w:val="9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2021-09-30T06:58:00Z</dcterms:created>
  <dc:creator>Administrator</dc:creator>
  <cp:lastModifiedBy>甜果子乐</cp:lastModifiedBy>
  <cp:lastPrinted>2021-10-08T06:27:00Z</cp:lastPrinted>
  <dcterms:modified xsi:type="dcterms:W3CDTF">2021-10-26T06:28:06Z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A22CE0A372E44F12BE11BE42FCA27509</vt:lpwstr>
  </property>
</Properties>
</file>